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A8827">
      <w:pPr>
        <w:jc w:val="both"/>
        <w:rPr>
          <w:rFonts w:hint="eastAsia" w:ascii="宋体" w:hAnsi="宋体" w:eastAsia="宋体"/>
          <w:b/>
          <w:bCs/>
          <w:sz w:val="44"/>
          <w:szCs w:val="44"/>
        </w:rPr>
      </w:pPr>
      <w:bookmarkStart w:id="0" w:name="_Toc1425"/>
      <w:bookmarkStart w:id="1" w:name="_Toc17727"/>
      <w:bookmarkStart w:id="2" w:name="_Toc24421"/>
      <w:bookmarkStart w:id="3" w:name="_Toc5924"/>
    </w:p>
    <w:bookmarkEnd w:id="0"/>
    <w:bookmarkEnd w:id="1"/>
    <w:bookmarkEnd w:id="2"/>
    <w:bookmarkEnd w:id="3"/>
    <w:p w14:paraId="3B68C404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2026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河北省食品药品包装设计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行业职业技能竞赛</w:t>
      </w:r>
    </w:p>
    <w:p w14:paraId="02DF6DFF">
      <w:pPr>
        <w:spacing w:line="248" w:lineRule="auto"/>
        <w:rPr>
          <w:rFonts w:ascii="Arial"/>
          <w:sz w:val="21"/>
        </w:rPr>
      </w:pPr>
    </w:p>
    <w:p w14:paraId="13C87213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</w:p>
    <w:p w14:paraId="4D5AF497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</w:p>
    <w:p w14:paraId="299595CF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</w:p>
    <w:p w14:paraId="3F63C7B4">
      <w:pPr>
        <w:jc w:val="center"/>
        <w:rPr>
          <w:rFonts w:hint="eastAsia" w:ascii="黑体" w:hAnsi="黑体" w:eastAsia="黑体" w:cs="黑体"/>
          <w:b w:val="0"/>
          <w:bCs w:val="0"/>
          <w:sz w:val="52"/>
          <w:szCs w:val="52"/>
        </w:rPr>
      </w:pPr>
    </w:p>
    <w:p w14:paraId="6E5E0452">
      <w:pPr>
        <w:jc w:val="center"/>
        <w:rPr>
          <w:rFonts w:hint="eastAsia" w:ascii="黑体" w:hAnsi="黑体" w:eastAsia="黑体" w:cs="黑体"/>
          <w:b w:val="0"/>
          <w:bCs w:val="0"/>
          <w:sz w:val="48"/>
          <w:szCs w:val="48"/>
        </w:rPr>
      </w:pPr>
      <w:r>
        <w:rPr>
          <w:rFonts w:hint="eastAsia" w:ascii="黑体" w:hAnsi="黑体" w:eastAsia="黑体" w:cs="黑体"/>
          <w:b w:val="0"/>
          <w:bCs w:val="0"/>
          <w:sz w:val="48"/>
          <w:szCs w:val="48"/>
        </w:rPr>
        <w:t>技</w:t>
      </w:r>
    </w:p>
    <w:p w14:paraId="1ADD7EE9">
      <w:pPr>
        <w:jc w:val="center"/>
        <w:rPr>
          <w:rFonts w:hint="eastAsia" w:ascii="黑体" w:hAnsi="黑体" w:eastAsia="黑体" w:cs="黑体"/>
          <w:b w:val="0"/>
          <w:bCs w:val="0"/>
          <w:sz w:val="48"/>
          <w:szCs w:val="48"/>
        </w:rPr>
      </w:pPr>
      <w:r>
        <w:rPr>
          <w:rFonts w:hint="eastAsia" w:ascii="黑体" w:hAnsi="黑体" w:eastAsia="黑体" w:cs="黑体"/>
          <w:b w:val="0"/>
          <w:bCs w:val="0"/>
          <w:sz w:val="48"/>
          <w:szCs w:val="48"/>
        </w:rPr>
        <w:t>术</w:t>
      </w:r>
    </w:p>
    <w:p w14:paraId="63A60822">
      <w:pPr>
        <w:jc w:val="center"/>
        <w:rPr>
          <w:rFonts w:hint="eastAsia" w:ascii="黑体" w:hAnsi="黑体" w:eastAsia="黑体" w:cs="黑体"/>
          <w:b w:val="0"/>
          <w:bCs w:val="0"/>
          <w:sz w:val="48"/>
          <w:szCs w:val="48"/>
        </w:rPr>
      </w:pPr>
      <w:r>
        <w:rPr>
          <w:rFonts w:hint="eastAsia" w:ascii="黑体" w:hAnsi="黑体" w:eastAsia="黑体" w:cs="黑体"/>
          <w:b w:val="0"/>
          <w:bCs w:val="0"/>
          <w:sz w:val="48"/>
          <w:szCs w:val="48"/>
        </w:rPr>
        <w:t>工</w:t>
      </w:r>
    </w:p>
    <w:p w14:paraId="661A3033">
      <w:pPr>
        <w:jc w:val="center"/>
        <w:rPr>
          <w:rFonts w:hint="eastAsia" w:ascii="黑体" w:hAnsi="黑体" w:eastAsia="黑体" w:cs="黑体"/>
          <w:b w:val="0"/>
          <w:bCs w:val="0"/>
          <w:sz w:val="48"/>
          <w:szCs w:val="48"/>
        </w:rPr>
      </w:pPr>
      <w:r>
        <w:rPr>
          <w:rFonts w:hint="eastAsia" w:ascii="黑体" w:hAnsi="黑体" w:eastAsia="黑体" w:cs="黑体"/>
          <w:b w:val="0"/>
          <w:bCs w:val="0"/>
          <w:sz w:val="48"/>
          <w:szCs w:val="48"/>
        </w:rPr>
        <w:t>作</w:t>
      </w:r>
    </w:p>
    <w:p w14:paraId="0CE0F64F">
      <w:pPr>
        <w:jc w:val="center"/>
        <w:rPr>
          <w:rFonts w:hint="eastAsia" w:ascii="黑体" w:hAnsi="黑体" w:eastAsia="黑体" w:cs="黑体"/>
          <w:b w:val="0"/>
          <w:bCs w:val="0"/>
          <w:sz w:val="48"/>
          <w:szCs w:val="48"/>
        </w:rPr>
      </w:pPr>
      <w:r>
        <w:rPr>
          <w:rFonts w:hint="eastAsia" w:ascii="黑体" w:hAnsi="黑体" w:eastAsia="黑体" w:cs="黑体"/>
          <w:b w:val="0"/>
          <w:bCs w:val="0"/>
          <w:sz w:val="48"/>
          <w:szCs w:val="48"/>
        </w:rPr>
        <w:t>文</w:t>
      </w:r>
    </w:p>
    <w:p w14:paraId="33C0D753">
      <w:pPr>
        <w:jc w:val="center"/>
        <w:rPr>
          <w:rFonts w:hint="eastAsia" w:ascii="黑体" w:hAnsi="黑体" w:eastAsia="黑体" w:cs="黑体"/>
          <w:b w:val="0"/>
          <w:bCs w:val="0"/>
          <w:sz w:val="48"/>
          <w:szCs w:val="48"/>
        </w:rPr>
      </w:pPr>
      <w:r>
        <w:rPr>
          <w:rFonts w:hint="eastAsia" w:ascii="黑体" w:hAnsi="黑体" w:eastAsia="黑体" w:cs="黑体"/>
          <w:b w:val="0"/>
          <w:bCs w:val="0"/>
          <w:sz w:val="48"/>
          <w:szCs w:val="48"/>
        </w:rPr>
        <w:t>件</w:t>
      </w:r>
    </w:p>
    <w:p w14:paraId="6994C268">
      <w:pPr>
        <w:spacing w:line="248" w:lineRule="auto"/>
        <w:rPr>
          <w:rFonts w:ascii="Arial"/>
          <w:sz w:val="21"/>
        </w:rPr>
      </w:pPr>
    </w:p>
    <w:p w14:paraId="6F188018">
      <w:pPr>
        <w:spacing w:line="248" w:lineRule="auto"/>
        <w:rPr>
          <w:rFonts w:ascii="Arial"/>
          <w:sz w:val="21"/>
        </w:rPr>
      </w:pPr>
    </w:p>
    <w:p w14:paraId="18C6F453">
      <w:pPr>
        <w:spacing w:line="248" w:lineRule="auto"/>
        <w:rPr>
          <w:rFonts w:ascii="Arial"/>
          <w:sz w:val="21"/>
        </w:rPr>
      </w:pPr>
    </w:p>
    <w:p w14:paraId="31465D11">
      <w:pPr>
        <w:spacing w:line="248" w:lineRule="auto"/>
        <w:rPr>
          <w:rFonts w:ascii="Arial"/>
          <w:sz w:val="20"/>
          <w:szCs w:val="18"/>
        </w:rPr>
      </w:pPr>
    </w:p>
    <w:p w14:paraId="36F992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宋体" w:hAnsi="宋体" w:eastAsia="宋体" w:cs="宋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河北省装备制造和冶金工会</w:t>
      </w:r>
    </w:p>
    <w:p w14:paraId="0AD6C7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宋体" w:hAnsi="宋体" w:eastAsia="宋体" w:cs="宋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napToGrid w:val="0"/>
          <w:color w:val="000000"/>
          <w:spacing w:val="-3"/>
          <w:kern w:val="0"/>
          <w:sz w:val="36"/>
          <w:szCs w:val="36"/>
          <w:lang w:val="en-US" w:eastAsia="zh-CN" w:bidi="ar-SA"/>
        </w:rPr>
        <w:t>河北省食品包装行业协会</w:t>
      </w:r>
    </w:p>
    <w:p w14:paraId="1FB02AF2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 w:eastAsia="宋体" w:cs="宋体"/>
          <w:sz w:val="36"/>
          <w:szCs w:val="36"/>
        </w:rPr>
        <w:t>河北省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食品药品包装设计</w:t>
      </w:r>
      <w:r>
        <w:rPr>
          <w:rFonts w:hint="eastAsia" w:ascii="宋体" w:hAnsi="宋体" w:eastAsia="宋体" w:cs="宋体"/>
          <w:sz w:val="36"/>
          <w:szCs w:val="36"/>
        </w:rPr>
        <w:t>行业职业技能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竞赛</w:t>
      </w:r>
    </w:p>
    <w:p w14:paraId="09028DE5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  <w:t>组委会技术工作委员会</w:t>
      </w:r>
    </w:p>
    <w:p w14:paraId="26231B6C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  <w:t>二零二六年七月</w:t>
      </w:r>
    </w:p>
    <w:p w14:paraId="3AA3EA11">
      <w:pPr>
        <w:spacing w:line="248" w:lineRule="auto"/>
        <w:jc w:val="center"/>
        <w:rPr>
          <w:rFonts w:ascii="Arial"/>
          <w:sz w:val="21"/>
        </w:rPr>
      </w:pPr>
    </w:p>
    <w:p w14:paraId="159CA708">
      <w:pPr>
        <w:spacing w:line="318" w:lineRule="auto"/>
        <w:rPr>
          <w:rFonts w:ascii="Arial"/>
          <w:sz w:val="21"/>
        </w:rPr>
      </w:pPr>
    </w:p>
    <w:p w14:paraId="278F3886">
      <w:pPr>
        <w:pStyle w:val="10"/>
        <w:rPr>
          <w:rFonts w:ascii="Arial"/>
          <w:sz w:val="21"/>
        </w:rPr>
      </w:pPr>
    </w:p>
    <w:p w14:paraId="0321B67B">
      <w:pPr>
        <w:pStyle w:val="10"/>
        <w:rPr>
          <w:rFonts w:ascii="Arial"/>
          <w:sz w:val="21"/>
        </w:rPr>
      </w:pPr>
    </w:p>
    <w:p w14:paraId="1F1DC279">
      <w:pPr>
        <w:pStyle w:val="10"/>
        <w:ind w:left="0" w:leftChars="0" w:firstLine="0" w:firstLineChars="0"/>
        <w:rPr>
          <w:rFonts w:ascii="Arial"/>
          <w:sz w:val="21"/>
        </w:rPr>
      </w:pPr>
    </w:p>
    <w:p w14:paraId="0D6199C7">
      <w:pPr>
        <w:spacing w:line="318" w:lineRule="auto"/>
        <w:rPr>
          <w:rFonts w:ascii="Arial"/>
          <w:sz w:val="21"/>
        </w:rPr>
      </w:pPr>
    </w:p>
    <w:sdt>
      <w:sdtPr>
        <w:rPr>
          <w:rFonts w:ascii="宋体" w:hAnsi="宋体" w:eastAsia="宋体" w:cs="Times New Roman"/>
          <w:kern w:val="2"/>
          <w:sz w:val="21"/>
          <w:lang w:val="en-US" w:eastAsia="zh-CN" w:bidi="ar-SA"/>
        </w:rPr>
        <w:id w:val="147479366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30"/>
          <w:szCs w:val="30"/>
          <w:lang w:val="en-US" w:eastAsia="zh-CN" w:bidi="ar-SA"/>
        </w:rPr>
      </w:sdtEndPr>
      <w:sdtContent>
        <w:p w14:paraId="7545FCF8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30"/>
              <w:szCs w:val="30"/>
            </w:rPr>
          </w:pPr>
          <w:r>
            <w:rPr>
              <w:rFonts w:ascii="宋体" w:hAnsi="宋体" w:eastAsia="宋体"/>
              <w:sz w:val="30"/>
              <w:szCs w:val="30"/>
            </w:rPr>
            <w:t>目录</w:t>
          </w:r>
        </w:p>
        <w:p w14:paraId="5061F3C5">
          <w:pPr>
            <w:pStyle w:val="8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begin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instrText xml:space="preserve">TOC \o "1-2" \h \u </w:instrText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separate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begin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instrText xml:space="preserve"> HYPERLINK \l _Toc21170 </w:instrText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sz w:val="30"/>
              <w:szCs w:val="30"/>
            </w:rPr>
            <w:t>一、技术描述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_Toc21170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2</w:t>
          </w:r>
          <w:r>
            <w:rPr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end"/>
          </w:r>
        </w:p>
        <w:p w14:paraId="5CBD6E45">
          <w:pPr>
            <w:pStyle w:val="9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begin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instrText xml:space="preserve"> HYPERLINK \l _Toc24172 </w:instrText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30"/>
              <w:szCs w:val="30"/>
              <w:lang w:eastAsia="zh-CN"/>
            </w:rPr>
            <w:t>（</w:t>
          </w:r>
          <w:r>
            <w:rPr>
              <w:rFonts w:hint="eastAsia" w:ascii="方正仿宋_GB2312" w:hAnsi="方正仿宋_GB2312" w:eastAsia="方正仿宋_GB2312" w:cs="方正仿宋_GB2312"/>
              <w:bCs/>
              <w:sz w:val="30"/>
              <w:szCs w:val="30"/>
              <w:lang w:val="en-US" w:eastAsia="zh-CN"/>
            </w:rPr>
            <w:t>一</w:t>
          </w:r>
          <w:r>
            <w:rPr>
              <w:rFonts w:hint="eastAsia" w:ascii="方正仿宋_GB2312" w:hAnsi="方正仿宋_GB2312" w:eastAsia="方正仿宋_GB2312" w:cs="方正仿宋_GB2312"/>
              <w:bCs/>
              <w:sz w:val="30"/>
              <w:szCs w:val="30"/>
              <w:lang w:eastAsia="zh-CN"/>
            </w:rPr>
            <w:t>）</w:t>
          </w:r>
          <w:r>
            <w:rPr>
              <w:rFonts w:hint="eastAsia" w:ascii="方正仿宋_GB2312" w:hAnsi="方正仿宋_GB2312" w:eastAsia="方正仿宋_GB2312" w:cs="方正仿宋_GB2312"/>
              <w:bCs/>
              <w:sz w:val="30"/>
              <w:szCs w:val="30"/>
            </w:rPr>
            <w:t>项目概要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_Toc24172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2</w:t>
          </w:r>
          <w:r>
            <w:rPr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end"/>
          </w:r>
        </w:p>
        <w:p w14:paraId="1A8BEADD">
          <w:pPr>
            <w:pStyle w:val="9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begin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instrText xml:space="preserve"> HYPERLINK \l _Toc10688 </w:instrText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30"/>
              <w:szCs w:val="30"/>
            </w:rPr>
            <w:t>(二)基本知识与能力要求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_Toc10688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4</w:t>
          </w:r>
          <w:r>
            <w:rPr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end"/>
          </w:r>
        </w:p>
        <w:p w14:paraId="58ECEBF7">
          <w:pPr>
            <w:pStyle w:val="8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begin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instrText xml:space="preserve"> HYPERLINK \l _Toc16489 </w:instrText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sz w:val="30"/>
              <w:szCs w:val="30"/>
            </w:rPr>
            <w:t>二、试题与评判标准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_Toc16489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4</w:t>
          </w:r>
          <w:r>
            <w:rPr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end"/>
          </w:r>
        </w:p>
        <w:p w14:paraId="6484DF0B">
          <w:pPr>
            <w:pStyle w:val="9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begin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instrText xml:space="preserve"> HYPERLINK \l _Toc1516 </w:instrText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30"/>
              <w:szCs w:val="30"/>
            </w:rPr>
            <w:t>(一)试题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_Toc1516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4</w:t>
          </w:r>
          <w:r>
            <w:rPr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end"/>
          </w:r>
        </w:p>
        <w:p w14:paraId="12072A90">
          <w:pPr>
            <w:pStyle w:val="9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begin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instrText xml:space="preserve"> HYPERLINK \l _Toc32411 </w:instrText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30"/>
              <w:szCs w:val="30"/>
            </w:rPr>
            <w:t>(二)评判标准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_Toc32411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5</w:t>
          </w:r>
          <w:r>
            <w:rPr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end"/>
          </w:r>
        </w:p>
        <w:p w14:paraId="140A477E">
          <w:pPr>
            <w:pStyle w:val="8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begin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instrText xml:space="preserve"> HYPERLINK \l _Toc18392 </w:instrText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/>
              <w:sz w:val="30"/>
              <w:szCs w:val="30"/>
              <w:lang w:val="en-US" w:eastAsia="zh-CN"/>
            </w:rPr>
            <w:t>三、时间安排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_Toc18392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7</w:t>
          </w:r>
          <w:r>
            <w:rPr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end"/>
          </w:r>
        </w:p>
        <w:p w14:paraId="6F6CD4D9">
          <w:pPr>
            <w:pStyle w:val="8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begin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instrText xml:space="preserve"> HYPERLINK \l _Toc25968 </w:instrText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/>
              <w:sz w:val="30"/>
              <w:szCs w:val="30"/>
              <w:lang w:val="en-US" w:eastAsia="zh-CN"/>
            </w:rPr>
            <w:t>四、竞赛场地、设施设备等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_Toc25968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8</w:t>
          </w:r>
          <w:r>
            <w:rPr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end"/>
          </w:r>
        </w:p>
        <w:p w14:paraId="4CC52C70">
          <w:pPr>
            <w:pStyle w:val="9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begin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instrText xml:space="preserve"> HYPERLINK \l _Toc10028 </w:instrText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30"/>
              <w:szCs w:val="30"/>
              <w:lang w:val="en-US" w:eastAsia="zh-CN"/>
            </w:rPr>
            <w:t>（一）</w:t>
          </w:r>
          <w:r>
            <w:rPr>
              <w:rFonts w:hint="eastAsia" w:ascii="方正仿宋_GB2312" w:hAnsi="方正仿宋_GB2312" w:eastAsia="方正仿宋_GB2312" w:cs="方正仿宋_GB2312"/>
              <w:bCs/>
              <w:sz w:val="30"/>
              <w:szCs w:val="30"/>
              <w:lang w:val="zh-TW" w:eastAsia="zh-CN"/>
            </w:rPr>
            <w:t>竞赛区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_Toc10028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8</w:t>
          </w:r>
          <w:r>
            <w:rPr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end"/>
          </w:r>
        </w:p>
        <w:p w14:paraId="2698A633">
          <w:pPr>
            <w:pStyle w:val="9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begin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instrText xml:space="preserve"> HYPERLINK \l _Toc16160 </w:instrText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30"/>
              <w:szCs w:val="30"/>
              <w:lang w:val="en-US" w:eastAsia="zh-CN"/>
            </w:rPr>
            <w:t>（二）</w:t>
          </w:r>
          <w:r>
            <w:rPr>
              <w:rFonts w:hint="eastAsia" w:ascii="方正仿宋_GB2312" w:hAnsi="方正仿宋_GB2312" w:eastAsia="方正仿宋_GB2312" w:cs="方正仿宋_GB2312"/>
              <w:bCs/>
              <w:sz w:val="30"/>
              <w:szCs w:val="30"/>
              <w:lang w:val="zh-TW" w:eastAsia="zh-CN"/>
            </w:rPr>
            <w:t>裁判区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_Toc16160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8</w:t>
          </w:r>
          <w:r>
            <w:rPr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end"/>
          </w:r>
        </w:p>
        <w:p w14:paraId="22A9E325">
          <w:pPr>
            <w:pStyle w:val="9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begin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instrText xml:space="preserve"> HYPERLINK \l _Toc6594 </w:instrText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30"/>
              <w:szCs w:val="30"/>
              <w:lang w:val="en-US" w:eastAsia="zh-CN"/>
            </w:rPr>
            <w:t>（三）场地设备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_Toc6594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8</w:t>
          </w:r>
          <w:r>
            <w:rPr>
              <w:sz w:val="30"/>
              <w:szCs w:val="30"/>
            </w:rPr>
            <w:fldChar w:fldCharType="end"/>
          </w: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end"/>
          </w:r>
        </w:p>
        <w:p w14:paraId="22A06573">
          <w:pPr>
            <w:pStyle w:val="10"/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</w:pPr>
          <w:r>
            <w:rPr>
              <w:rFonts w:ascii="宋体" w:hAnsi="宋体" w:eastAsia="宋体" w:cs="Times New Roman"/>
              <w:kern w:val="2"/>
              <w:sz w:val="30"/>
              <w:szCs w:val="30"/>
              <w:lang w:val="en-US" w:eastAsia="zh-CN" w:bidi="ar-SA"/>
            </w:rPr>
            <w:fldChar w:fldCharType="end"/>
          </w:r>
        </w:p>
      </w:sdtContent>
    </w:sdt>
    <w:p w14:paraId="595C5D61">
      <w:pPr>
        <w:pStyle w:val="10"/>
        <w:rPr>
          <w:rFonts w:ascii="宋体" w:hAnsi="宋体" w:eastAsia="宋体" w:cs="Times New Roman"/>
          <w:kern w:val="2"/>
          <w:sz w:val="30"/>
          <w:szCs w:val="30"/>
          <w:lang w:val="en-US" w:eastAsia="zh-CN" w:bidi="ar-SA"/>
        </w:rPr>
      </w:pPr>
    </w:p>
    <w:p w14:paraId="5AC4B81D">
      <w:pPr>
        <w:pStyle w:val="10"/>
        <w:rPr>
          <w:rFonts w:ascii="宋体" w:hAnsi="宋体" w:eastAsia="宋体" w:cs="Times New Roman"/>
          <w:kern w:val="2"/>
          <w:sz w:val="21"/>
          <w:lang w:val="en-US" w:eastAsia="zh-CN" w:bidi="ar-SA"/>
        </w:rPr>
      </w:pPr>
    </w:p>
    <w:p w14:paraId="708A64F3">
      <w:pPr>
        <w:pStyle w:val="10"/>
        <w:rPr>
          <w:rFonts w:ascii="宋体" w:hAnsi="宋体" w:eastAsia="宋体" w:cs="Times New Roman"/>
          <w:kern w:val="2"/>
          <w:sz w:val="21"/>
          <w:lang w:val="en-US" w:eastAsia="zh-CN" w:bidi="ar-SA"/>
        </w:rPr>
      </w:pPr>
    </w:p>
    <w:p w14:paraId="2CA38D31">
      <w:pPr>
        <w:pStyle w:val="10"/>
        <w:rPr>
          <w:rFonts w:ascii="宋体" w:hAnsi="宋体" w:eastAsia="宋体" w:cs="Times New Roman"/>
          <w:kern w:val="2"/>
          <w:sz w:val="21"/>
          <w:lang w:val="en-US" w:eastAsia="zh-CN" w:bidi="ar-SA"/>
        </w:rPr>
      </w:pPr>
    </w:p>
    <w:p w14:paraId="4589AAD3">
      <w:pPr>
        <w:pStyle w:val="10"/>
        <w:rPr>
          <w:rFonts w:ascii="宋体" w:hAnsi="宋体" w:eastAsia="宋体" w:cs="Times New Roman"/>
          <w:kern w:val="2"/>
          <w:sz w:val="21"/>
          <w:lang w:val="en-US" w:eastAsia="zh-CN" w:bidi="ar-SA"/>
        </w:rPr>
      </w:pPr>
    </w:p>
    <w:p w14:paraId="39550F7D">
      <w:pPr>
        <w:pStyle w:val="10"/>
        <w:rPr>
          <w:rFonts w:ascii="宋体" w:hAnsi="宋体" w:eastAsia="宋体" w:cs="Times New Roman"/>
          <w:kern w:val="2"/>
          <w:sz w:val="21"/>
          <w:lang w:val="en-US" w:eastAsia="zh-CN" w:bidi="ar-SA"/>
        </w:rPr>
      </w:pPr>
    </w:p>
    <w:p w14:paraId="752D5899">
      <w:pPr>
        <w:pStyle w:val="10"/>
        <w:rPr>
          <w:rFonts w:ascii="宋体" w:hAnsi="宋体" w:eastAsia="宋体" w:cs="Times New Roman"/>
          <w:kern w:val="2"/>
          <w:sz w:val="21"/>
          <w:lang w:val="en-US" w:eastAsia="zh-CN" w:bidi="ar-SA"/>
        </w:rPr>
      </w:pPr>
    </w:p>
    <w:p w14:paraId="40678C3A">
      <w:pPr>
        <w:pStyle w:val="10"/>
        <w:rPr>
          <w:rFonts w:ascii="宋体" w:hAnsi="宋体" w:eastAsia="宋体" w:cs="Times New Roman"/>
          <w:kern w:val="2"/>
          <w:sz w:val="21"/>
          <w:lang w:val="en-US" w:eastAsia="zh-CN" w:bidi="ar-SA"/>
        </w:rPr>
      </w:pPr>
    </w:p>
    <w:p w14:paraId="0E3956AA">
      <w:pPr>
        <w:pStyle w:val="10"/>
        <w:rPr>
          <w:rFonts w:ascii="宋体" w:hAnsi="宋体" w:eastAsia="宋体" w:cs="Times New Roman"/>
          <w:kern w:val="2"/>
          <w:sz w:val="21"/>
          <w:lang w:val="en-US" w:eastAsia="zh-CN" w:bidi="ar-SA"/>
        </w:rPr>
      </w:pPr>
    </w:p>
    <w:p w14:paraId="277991F9">
      <w:pPr>
        <w:pStyle w:val="10"/>
        <w:rPr>
          <w:rFonts w:ascii="宋体" w:hAnsi="宋体" w:eastAsia="宋体" w:cs="Times New Roman"/>
          <w:kern w:val="2"/>
          <w:sz w:val="21"/>
          <w:lang w:val="en-US" w:eastAsia="zh-CN" w:bidi="ar-SA"/>
        </w:rPr>
      </w:pPr>
    </w:p>
    <w:p w14:paraId="35DFF49F">
      <w:pPr>
        <w:pStyle w:val="10"/>
        <w:rPr>
          <w:rFonts w:ascii="宋体" w:hAnsi="宋体" w:eastAsia="宋体" w:cs="Times New Roman"/>
          <w:kern w:val="2"/>
          <w:sz w:val="21"/>
          <w:lang w:val="en-US" w:eastAsia="zh-CN" w:bidi="ar-SA"/>
        </w:rPr>
      </w:pPr>
    </w:p>
    <w:p w14:paraId="2D919BEA"/>
    <w:p w14:paraId="61F10778">
      <w:pPr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bookmarkStart w:id="4" w:name="_Toc21170"/>
      <w:r>
        <w:rPr>
          <w:rFonts w:hint="eastAsia" w:ascii="黑体" w:hAnsi="黑体" w:eastAsia="黑体" w:cs="黑体"/>
          <w:sz w:val="32"/>
          <w:szCs w:val="32"/>
        </w:rPr>
        <w:t>一、技术描述</w:t>
      </w:r>
      <w:bookmarkEnd w:id="4"/>
    </w:p>
    <w:p w14:paraId="565476D6">
      <w:pPr>
        <w:ind w:firstLine="643" w:firstLineChars="200"/>
        <w:outlineLvl w:val="1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bookmarkStart w:id="5" w:name="_Toc4422"/>
      <w:bookmarkStart w:id="6" w:name="_Toc24172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项目概要</w:t>
      </w:r>
      <w:bookmarkEnd w:id="5"/>
      <w:bookmarkEnd w:id="6"/>
    </w:p>
    <w:p w14:paraId="785E735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2026河北省食品药品包装设计职业技能竞赛分职工组和学生组两个组别。竞赛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采取个人赛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的形式进行，竞赛内容分为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合规理论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知识考核、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创意设计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与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实物路演答辩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考核两大模块，采用双百分制计分。赛前在大赛官方网站公布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合规理论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知识考核竞赛样题。</w:t>
      </w:r>
    </w:p>
    <w:p w14:paraId="5A628E6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合规理论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知识考核共有200道考核题，包含 150 道单选题、50 道判断题，分值100 分，作答时长为 60 分钟。考核题目均从组委会制发的 400 道题库中抽取。</w:t>
      </w:r>
    </w:p>
    <w:p w14:paraId="41B63D3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创意设计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与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实物路演答辩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部分包含：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以功能性突破为核心、以艺术表达为辅助，独立完成全流程包装设计创作：</w:t>
      </w:r>
    </w:p>
    <w:p w14:paraId="4DFAC3A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需求定位与方案构思：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围绕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河北省重点药企、乳企及骨干食品企业真实产品场景，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要具备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防渗漏、易开启、避光、防潮、保鲜、抑菌、智能溯源、便携堆叠等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特点进行设计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，明确包装功能、受众定位、材质工艺选型；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兼顾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长城、太行山、燕赵非遗等文化元素。</w:t>
      </w:r>
    </w:p>
    <w:p w14:paraId="57300378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合规标注设计：严格按国标规范标注生产日期、保质期、净含量、配料表、致敏原、生产许可等必备信息，药品类符合说明书及密封防护规范。</w:t>
      </w:r>
    </w:p>
    <w:p w14:paraId="1E51BF2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视觉与结构设计：完成包装主视觉、版式排版、立体结构、展开图设计，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体现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结构功能性。</w:t>
      </w:r>
    </w:p>
    <w:p w14:paraId="0B52386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绿色与成本设计：选用可降解、再生环保材料，践行减塑、无过度包装理念，完成成本预估与工艺可行性说明。</w:t>
      </w:r>
    </w:p>
    <w:p w14:paraId="10A6E88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5、功能性价值与产业转化潜力：决赛入围选手需携带 1:1 实物打样作品或PPT稿件，进行现场路演答辩，重点阐述功能性创新突破、合规要点、艺术创意、对接企业量产落地优势。</w:t>
      </w:r>
    </w:p>
    <w:p w14:paraId="4B7998E8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文件编制输出：明确标注具体产品品类按规范提交展板、效果图、源文件、功能性创新说明全套资料。</w:t>
      </w:r>
    </w:p>
    <w:p w14:paraId="30F19EF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答辩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时长为10分钟，分值共计100分。</w:t>
      </w:r>
    </w:p>
    <w:p w14:paraId="1E7C68D2">
      <w:pPr>
        <w:ind w:firstLine="643" w:firstLineChars="200"/>
        <w:outlineLvl w:val="1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bookmarkStart w:id="7" w:name="_Toc22148"/>
      <w:bookmarkStart w:id="8" w:name="_Toc10688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基本知识与能力要求</w:t>
      </w:r>
      <w:bookmarkEnd w:id="7"/>
      <w:bookmarkEnd w:id="8"/>
    </w:p>
    <w:p w14:paraId="2C4F5B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</w:pPr>
      <w:bookmarkStart w:id="9" w:name="_Toc8838"/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职工组选手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考核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《</w:t>
      </w:r>
      <w:bookmarkStart w:id="10" w:name="OLE_LINK8"/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包装设计师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国家职业技能标准</w:t>
      </w:r>
      <w:bookmarkEnd w:id="1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（2021 年版）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》（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Hans" w:bidi="ar-SA"/>
        </w:rPr>
        <w:t>职业编码：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4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Hans" w:bidi="ar-SA"/>
        </w:rPr>
        <w:t>-0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8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Hans" w:bidi="ar-SA"/>
        </w:rPr>
        <w:t>-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08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Hans" w:bidi="ar-SA"/>
        </w:rPr>
        <w:t>-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09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）中的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二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级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包装设计师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的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内容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知识，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学生组考核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《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包装设计师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国家职业技能标准》中的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三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级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包装设计师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的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内容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知识，</w:t>
      </w:r>
    </w:p>
    <w:p w14:paraId="326380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参赛作品紧扣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作品主题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立意新颖，富有创意，工艺符合要求，将艺术审美与技术相结合，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能够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准确完整地表现出设计理念、材料、工艺及构造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，设计软件操作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en-US" w:bidi="ar-SA"/>
        </w:rPr>
        <w:t>熟练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。</w:t>
      </w:r>
    </w:p>
    <w:p w14:paraId="30948B12">
      <w:pPr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bookmarkStart w:id="11" w:name="_Toc16489"/>
      <w:r>
        <w:rPr>
          <w:rFonts w:hint="eastAsia" w:ascii="黑体" w:hAnsi="黑体" w:eastAsia="黑体" w:cs="黑体"/>
          <w:sz w:val="32"/>
          <w:szCs w:val="32"/>
        </w:rPr>
        <w:t>二、试题与评判标准</w:t>
      </w:r>
      <w:bookmarkEnd w:id="9"/>
      <w:bookmarkEnd w:id="11"/>
    </w:p>
    <w:p w14:paraId="2B9FE38D">
      <w:pPr>
        <w:ind w:firstLine="643" w:firstLineChars="200"/>
        <w:outlineLvl w:val="1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bookmarkStart w:id="12" w:name="_Toc32061"/>
      <w:bookmarkStart w:id="13" w:name="_Toc1516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试题</w:t>
      </w:r>
      <w:bookmarkEnd w:id="12"/>
      <w:bookmarkEnd w:id="13"/>
    </w:p>
    <w:p w14:paraId="5BF0C806">
      <w:pPr>
        <w:ind w:firstLine="72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6"/>
          <w:szCs w:val="36"/>
          <w:lang w:val="en-US" w:eastAsia="zh-CN"/>
        </w:rPr>
        <w:t>1、理论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命题依据：以《包装设计师国家职业技能标准（2021 年版）》为基础，适当融入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食品 GB 7718-2025 标签标准、GB 28050 营养标签、GB 191 储运标准；药品 YBB 药用包装标准、GMP 合规要求；包装版权侵权规范、减塑环保政策、河北非遗及燕赵文化基础常识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。试卷分为食品包装设计和药品包装设计两套试卷，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采用线上机考形式。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</w:t>
      </w:r>
    </w:p>
    <w:p w14:paraId="57C8027D">
      <w:pPr>
        <w:ind w:firstLine="720" w:firstLineChars="200"/>
        <w:rPr>
          <w:rFonts w:hint="default" w:ascii="方正仿宋_GB2312" w:hAnsi="方正仿宋_GB2312" w:eastAsia="方正仿宋_GB2312" w:cs="方正仿宋_GB2312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36"/>
          <w:szCs w:val="36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实操考核按选拔赛和决赛两个步骤</w:t>
      </w:r>
    </w:p>
    <w:p w14:paraId="550644F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（1）选拔赛</w:t>
      </w:r>
    </w:p>
    <w:p w14:paraId="5CEE239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以场外征集作品的形式开展，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设置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食品包装设计、药品包装设计两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个赛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道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其中食品包装设计三个赛项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乳制品包装设计、烘焙包装设计、酒水饮料包装设计。药品包装设计三个赛项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中成药包装设计、输液包装设计、化学制药包装设计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。以通知版本为准。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所征集的作品不限定所使用的设计制作软件。在食品包装设计、药品包装设计两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个赛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道前 40名的选手，进入决赛。</w:t>
      </w:r>
    </w:p>
    <w:p w14:paraId="3D77D20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（2）决赛</w:t>
      </w:r>
    </w:p>
    <w:p w14:paraId="7D2B8C6D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包括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合规理论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知识考核、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创意设计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与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实物路演答辩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考核两个部分。</w:t>
      </w:r>
    </w:p>
    <w:p w14:paraId="3ECDE63D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3、试题命制公布方式</w:t>
      </w:r>
    </w:p>
    <w:p w14:paraId="1B56903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（1）专家组长根据大赛规程的要求组织命题。</w:t>
      </w:r>
    </w:p>
    <w:p w14:paraId="71651DA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（2）大赛采用公开竞赛样题的方式进行。</w:t>
      </w:r>
    </w:p>
    <w:p w14:paraId="741BACE2">
      <w:pPr>
        <w:numPr>
          <w:ilvl w:val="0"/>
          <w:numId w:val="0"/>
        </w:numPr>
        <w:ind w:left="0" w:leftChars="0" w:firstLine="643" w:firstLineChars="200"/>
        <w:outlineLvl w:val="1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bookmarkStart w:id="14" w:name="_Toc32411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评判标准</w:t>
      </w:r>
      <w:bookmarkEnd w:id="14"/>
    </w:p>
    <w:p w14:paraId="451C181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参赛选手的成绩评定由大赛组委会的裁判组负责。参赛选手的名次依据竞赛总成绩由高到低排列。当出现参赛选手总成绩相同时，以技能操作得分高的选手名次在前。</w:t>
      </w:r>
    </w:p>
    <w:p w14:paraId="0E937F2F">
      <w:pPr>
        <w:numPr>
          <w:ilvl w:val="0"/>
          <w:numId w:val="1"/>
        </w:numPr>
        <w:ind w:firstLine="640" w:firstLineChars="200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模块分值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5263"/>
        <w:gridCol w:w="859"/>
      </w:tblGrid>
      <w:tr w14:paraId="1C325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  <w:vAlign w:val="center"/>
          </w:tcPr>
          <w:p w14:paraId="50BF0BD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评分模块</w:t>
            </w:r>
          </w:p>
        </w:tc>
        <w:tc>
          <w:tcPr>
            <w:tcW w:w="5263" w:type="dxa"/>
            <w:vAlign w:val="center"/>
          </w:tcPr>
          <w:p w14:paraId="706BC69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评分要点</w:t>
            </w:r>
          </w:p>
        </w:tc>
        <w:tc>
          <w:tcPr>
            <w:tcW w:w="859" w:type="dxa"/>
            <w:vAlign w:val="center"/>
          </w:tcPr>
          <w:p w14:paraId="4AD8B43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总分</w:t>
            </w:r>
          </w:p>
        </w:tc>
      </w:tr>
      <w:tr w14:paraId="507BE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0" w:type="dxa"/>
          </w:tcPr>
          <w:p w14:paraId="527DDDF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合规理论</w:t>
            </w:r>
          </w:p>
          <w:p w14:paraId="20C33B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281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知识考核</w:t>
            </w:r>
          </w:p>
        </w:tc>
        <w:tc>
          <w:tcPr>
            <w:tcW w:w="5263" w:type="dxa"/>
          </w:tcPr>
          <w:p w14:paraId="534E50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根据选手对理论基础题目的作答情况，平台 </w:t>
            </w:r>
          </w:p>
          <w:p w14:paraId="18A264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自动评分。共计 200 道题，其中单选题 150 </w:t>
            </w:r>
          </w:p>
          <w:p w14:paraId="10E611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道每题 0.5 分，判断题 50 道，每题 0.5 分。</w:t>
            </w:r>
          </w:p>
          <w:p w14:paraId="4C11DE72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9" w:type="dxa"/>
          </w:tcPr>
          <w:p w14:paraId="430D796B">
            <w:pPr>
              <w:pStyle w:val="10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</w:p>
        </w:tc>
      </w:tr>
      <w:tr w14:paraId="2A76E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0" w:type="dxa"/>
          </w:tcPr>
          <w:p w14:paraId="187E72AA">
            <w:pPr>
              <w:pStyle w:val="10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总计</w:t>
            </w:r>
          </w:p>
        </w:tc>
        <w:tc>
          <w:tcPr>
            <w:tcW w:w="5263" w:type="dxa"/>
          </w:tcPr>
          <w:p w14:paraId="6552ECD5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859" w:type="dxa"/>
          </w:tcPr>
          <w:p w14:paraId="323A3F96">
            <w:pPr>
              <w:pStyle w:val="10"/>
              <w:ind w:left="0" w:leftChars="0" w:firstLine="0" w:firstLineChars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100分</w:t>
            </w:r>
          </w:p>
        </w:tc>
      </w:tr>
    </w:tbl>
    <w:p w14:paraId="4407DB88">
      <w:pPr>
        <w:pStyle w:val="10"/>
        <w:rPr>
          <w:rFonts w:hint="eastAsia"/>
          <w:lang w:val="en-US" w:eastAsia="zh-CN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4978"/>
        <w:gridCol w:w="1213"/>
      </w:tblGrid>
      <w:tr w14:paraId="4171C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 w14:paraId="6DA44A1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创意设计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与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实物路演答辩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考核</w:t>
            </w:r>
          </w:p>
        </w:tc>
        <w:tc>
          <w:tcPr>
            <w:tcW w:w="4978" w:type="dxa"/>
            <w:vAlign w:val="center"/>
          </w:tcPr>
          <w:p w14:paraId="3882BF3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评分要点</w:t>
            </w:r>
          </w:p>
        </w:tc>
        <w:tc>
          <w:tcPr>
            <w:tcW w:w="1213" w:type="dxa"/>
            <w:vAlign w:val="center"/>
          </w:tcPr>
          <w:p w14:paraId="60BB999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总分</w:t>
            </w:r>
          </w:p>
        </w:tc>
      </w:tr>
      <w:tr w14:paraId="43222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 w14:paraId="780B4D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需求定位与方案构思</w:t>
            </w:r>
          </w:p>
        </w:tc>
        <w:tc>
          <w:tcPr>
            <w:tcW w:w="4978" w:type="dxa"/>
            <w:vAlign w:val="center"/>
          </w:tcPr>
          <w:p w14:paraId="5FDC684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防渗漏、避光、防潮、保鲜、抑菌、易开启、便携堆叠、智能溯源等创新；解决行业痛点、结构功能领先、实用性强；</w:t>
            </w:r>
          </w:p>
        </w:tc>
        <w:tc>
          <w:tcPr>
            <w:tcW w:w="1213" w:type="dxa"/>
            <w:vAlign w:val="center"/>
          </w:tcPr>
          <w:p w14:paraId="409AFD2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（20 分）</w:t>
            </w:r>
          </w:p>
        </w:tc>
      </w:tr>
      <w:tr w14:paraId="60642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 w14:paraId="3CB4F6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合规标注设计</w:t>
            </w:r>
          </w:p>
        </w:tc>
        <w:tc>
          <w:tcPr>
            <w:tcW w:w="4978" w:type="dxa"/>
            <w:vAlign w:val="center"/>
          </w:tcPr>
          <w:p w14:paraId="27B3D45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标签国标合规、药品密封 / 避光 / 防潮防护达标、强制标注完整；</w:t>
            </w:r>
          </w:p>
        </w:tc>
        <w:tc>
          <w:tcPr>
            <w:tcW w:w="1213" w:type="dxa"/>
            <w:vAlign w:val="center"/>
          </w:tcPr>
          <w:p w14:paraId="64126DB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（15 分）</w:t>
            </w:r>
          </w:p>
        </w:tc>
      </w:tr>
      <w:tr w14:paraId="012F3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 w14:paraId="430691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视觉与结构设计</w:t>
            </w:r>
          </w:p>
        </w:tc>
        <w:tc>
          <w:tcPr>
            <w:tcW w:w="4978" w:type="dxa"/>
            <w:vAlign w:val="center"/>
          </w:tcPr>
          <w:p w14:paraId="5A1BA9D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产品防护、结构合理、适配量产工艺、堆叠运输稳定、易开启便携</w:t>
            </w:r>
          </w:p>
        </w:tc>
        <w:tc>
          <w:tcPr>
            <w:tcW w:w="1213" w:type="dxa"/>
            <w:vAlign w:val="center"/>
          </w:tcPr>
          <w:p w14:paraId="2194B38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（15 分）</w:t>
            </w:r>
          </w:p>
        </w:tc>
      </w:tr>
      <w:tr w14:paraId="336A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 w14:paraId="5EB974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绿色与成本设计</w:t>
            </w:r>
          </w:p>
        </w:tc>
        <w:tc>
          <w:tcPr>
            <w:tcW w:w="4978" w:type="dxa"/>
            <w:vAlign w:val="center"/>
          </w:tcPr>
          <w:p w14:paraId="40E997A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环保可降解材料、减塑无过度包装、低碳工艺、回收再利用设计</w:t>
            </w:r>
          </w:p>
        </w:tc>
        <w:tc>
          <w:tcPr>
            <w:tcW w:w="1213" w:type="dxa"/>
            <w:vAlign w:val="center"/>
          </w:tcPr>
          <w:p w14:paraId="2475164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（15 分）</w:t>
            </w:r>
          </w:p>
        </w:tc>
      </w:tr>
      <w:tr w14:paraId="6D60F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 w14:paraId="008615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功能性价值与产业转化潜力</w:t>
            </w:r>
          </w:p>
        </w:tc>
        <w:tc>
          <w:tcPr>
            <w:tcW w:w="4978" w:type="dxa"/>
            <w:vAlign w:val="center"/>
          </w:tcPr>
          <w:p w14:paraId="27CC157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对接河北重点药企 / 乳企/ 食品企业、成本预估合理、工艺易实现、具备市场化量产价值、燕赵文化、长城 / 太行山 / 非遗元素融合、品牌故事与情感共鸣；</w:t>
            </w:r>
          </w:p>
        </w:tc>
        <w:tc>
          <w:tcPr>
            <w:tcW w:w="1213" w:type="dxa"/>
            <w:vAlign w:val="center"/>
          </w:tcPr>
          <w:p w14:paraId="6CF0F7B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（20分）</w:t>
            </w:r>
          </w:p>
        </w:tc>
      </w:tr>
      <w:tr w14:paraId="329FB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 w14:paraId="141CD4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文件编制输出</w:t>
            </w:r>
          </w:p>
        </w:tc>
        <w:tc>
          <w:tcPr>
            <w:tcW w:w="4978" w:type="dxa"/>
            <w:vAlign w:val="center"/>
          </w:tcPr>
          <w:p w14:paraId="508EBA2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明确标注具体产品品类按规范提交展板、效果图、源文件、功能性创新说明全套资料。</w:t>
            </w:r>
          </w:p>
        </w:tc>
        <w:tc>
          <w:tcPr>
            <w:tcW w:w="1213" w:type="dxa"/>
            <w:vAlign w:val="center"/>
          </w:tcPr>
          <w:p w14:paraId="38EB024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（15分）</w:t>
            </w:r>
          </w:p>
        </w:tc>
      </w:tr>
      <w:tr w14:paraId="63A22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331" w:type="dxa"/>
            <w:vAlign w:val="center"/>
          </w:tcPr>
          <w:p w14:paraId="3C7800E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bookmarkStart w:id="15" w:name="_Toc106866667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总计</w:t>
            </w:r>
          </w:p>
        </w:tc>
        <w:tc>
          <w:tcPr>
            <w:tcW w:w="4978" w:type="dxa"/>
            <w:vAlign w:val="center"/>
          </w:tcPr>
          <w:p w14:paraId="70352B74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13" w:type="dxa"/>
            <w:vAlign w:val="center"/>
          </w:tcPr>
          <w:p w14:paraId="0B10A21A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100分</w:t>
            </w:r>
          </w:p>
        </w:tc>
      </w:tr>
    </w:tbl>
    <w:p w14:paraId="0B86FC45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7EB64A9">
      <w:pPr>
        <w:ind w:firstLine="640" w:firstLineChars="200"/>
        <w:outlineLvl w:val="2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评分</w:t>
      </w:r>
      <w:bookmarkEnd w:id="15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及成绩公布</w:t>
      </w:r>
      <w:bookmarkStart w:id="22" w:name="_GoBack"/>
      <w:bookmarkEnd w:id="22"/>
    </w:p>
    <w:p w14:paraId="716B20D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（1）成绩构成：竞赛总成绩等于理论试题成绩*20%+ </w:t>
      </w:r>
    </w:p>
    <w:p w14:paraId="229EDFA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实操考核成绩*80%，其中理论试题成绩由平台100%自动评 </w:t>
      </w:r>
    </w:p>
    <w:p w14:paraId="0FF06B2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分，实操考核成绩由裁判现场主观评分两部分构成。</w:t>
      </w:r>
    </w:p>
    <w:p w14:paraId="48704286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（2）评判原则：针对操作过程中在各个关键点所应呈现的技术指标、系统状态或实现的功能是否符合工作任务书的设计要求，列出各评判项、评判标准、技术指标进行评判。评分表根据比赛试题制定。</w:t>
      </w:r>
    </w:p>
    <w:p w14:paraId="44DCEED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（3）排名产生：</w:t>
      </w:r>
    </w:p>
    <w:p w14:paraId="0CC6B34D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按100分制计分，由高到低进行排名，如出现总成绩相同的情况，将依次根据“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创意设计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与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实物路演答辩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考核环节”模块的成绩，按分数从高到低排名。 </w:t>
      </w:r>
    </w:p>
    <w:p w14:paraId="6ED27D3D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（4）成绩审核：为保障成绩评判的准确性，监督仲裁组将对赛项总成绩排名前50%的所有参赛选手的成绩进行复核；如发现成绩错误及时告知裁判长，由裁判长更正成绩并签字确认。复核、抽检错误率超过5%的，裁判组将对所有成绩进行复核。 </w:t>
      </w:r>
    </w:p>
    <w:p w14:paraId="5A3BBC9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（5）成绩公布：裁判员将解密后的各参赛选手成绩汇总成比赛成绩，经裁判长、监督组长签字后进行公布。</w:t>
      </w:r>
    </w:p>
    <w:p w14:paraId="4707F2D1">
      <w:pPr>
        <w:ind w:firstLine="640" w:firstLineChars="200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16" w:name="_Toc18392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三、时间安排</w:t>
      </w:r>
      <w:bookmarkEnd w:id="16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</w:p>
    <w:tbl>
      <w:tblPr>
        <w:tblStyle w:val="12"/>
        <w:tblpPr w:leftFromText="180" w:rightFromText="180" w:vertAnchor="text" w:horzAnchor="page" w:tblpX="1792" w:tblpY="407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7"/>
        <w:gridCol w:w="4262"/>
      </w:tblGrid>
      <w:tr w14:paraId="76A5B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498" w:type="pct"/>
            <w:noWrap w:val="0"/>
            <w:vAlign w:val="center"/>
          </w:tcPr>
          <w:p w14:paraId="4CA74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2501" w:type="pct"/>
            <w:noWrap w:val="0"/>
            <w:vAlign w:val="center"/>
          </w:tcPr>
          <w:p w14:paraId="19279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事项</w:t>
            </w:r>
          </w:p>
        </w:tc>
      </w:tr>
      <w:tr w14:paraId="383C2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498" w:type="pct"/>
            <w:noWrap w:val="0"/>
            <w:vAlign w:val="center"/>
          </w:tcPr>
          <w:p w14:paraId="14C00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第一天</w:t>
            </w:r>
          </w:p>
        </w:tc>
        <w:tc>
          <w:tcPr>
            <w:tcW w:w="2501" w:type="pct"/>
            <w:noWrap w:val="0"/>
            <w:vAlign w:val="center"/>
          </w:tcPr>
          <w:p w14:paraId="4BA4E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报到</w:t>
            </w:r>
          </w:p>
        </w:tc>
      </w:tr>
      <w:tr w14:paraId="30267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498" w:type="pct"/>
            <w:noWrap w:val="0"/>
            <w:vAlign w:val="center"/>
          </w:tcPr>
          <w:p w14:paraId="09420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:00-1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:00</w:t>
            </w:r>
          </w:p>
        </w:tc>
        <w:tc>
          <w:tcPr>
            <w:tcW w:w="2501" w:type="pct"/>
            <w:noWrap w:val="0"/>
            <w:vAlign w:val="center"/>
          </w:tcPr>
          <w:p w14:paraId="1A756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参赛人员检录和抽签</w:t>
            </w:r>
          </w:p>
        </w:tc>
      </w:tr>
      <w:tr w14:paraId="5454F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2498" w:type="pct"/>
            <w:noWrap w:val="0"/>
            <w:vAlign w:val="center"/>
          </w:tcPr>
          <w:p w14:paraId="6F643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:00-1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01" w:type="pct"/>
            <w:noWrap w:val="0"/>
            <w:vAlign w:val="center"/>
          </w:tcPr>
          <w:p w14:paraId="3E3F5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宣读赛场纪律</w:t>
            </w:r>
          </w:p>
          <w:p w14:paraId="5DD03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宣布竞赛试题</w:t>
            </w:r>
          </w:p>
          <w:p w14:paraId="6ACD4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检查竞赛设备</w:t>
            </w:r>
          </w:p>
        </w:tc>
      </w:tr>
      <w:tr w14:paraId="78C93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498" w:type="pct"/>
            <w:noWrap w:val="0"/>
            <w:vAlign w:val="center"/>
          </w:tcPr>
          <w:p w14:paraId="490B8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9: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0–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0: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01" w:type="pct"/>
            <w:noWrap w:val="0"/>
            <w:vAlign w:val="center"/>
          </w:tcPr>
          <w:p w14:paraId="0D4FB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理论竞赛</w:t>
            </w:r>
          </w:p>
        </w:tc>
      </w:tr>
      <w:tr w14:paraId="0425E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498" w:type="pct"/>
            <w:noWrap w:val="0"/>
            <w:vAlign w:val="center"/>
          </w:tcPr>
          <w:p w14:paraId="461E8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第二天</w:t>
            </w:r>
          </w:p>
        </w:tc>
        <w:tc>
          <w:tcPr>
            <w:tcW w:w="2501" w:type="pct"/>
            <w:noWrap w:val="0"/>
            <w:vAlign w:val="center"/>
          </w:tcPr>
          <w:p w14:paraId="7E318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C0E8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498" w:type="pct"/>
            <w:noWrap w:val="0"/>
            <w:vAlign w:val="center"/>
          </w:tcPr>
          <w:p w14:paraId="46DA3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: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-1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: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01" w:type="pct"/>
            <w:noWrap w:val="0"/>
            <w:vAlign w:val="center"/>
          </w:tcPr>
          <w:p w14:paraId="2E8A3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路演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竞赛</w:t>
            </w:r>
          </w:p>
        </w:tc>
      </w:tr>
      <w:tr w14:paraId="6C44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498" w:type="pct"/>
            <w:noWrap w:val="0"/>
            <w:vAlign w:val="center"/>
          </w:tcPr>
          <w:p w14:paraId="2261A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: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0-13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:00</w:t>
            </w:r>
          </w:p>
        </w:tc>
        <w:tc>
          <w:tcPr>
            <w:tcW w:w="2501" w:type="pct"/>
            <w:noWrap w:val="0"/>
            <w:vAlign w:val="center"/>
          </w:tcPr>
          <w:p w14:paraId="0178D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午餐</w:t>
            </w:r>
          </w:p>
        </w:tc>
      </w:tr>
      <w:tr w14:paraId="7BD4C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498" w:type="pct"/>
            <w:noWrap w:val="0"/>
            <w:vAlign w:val="center"/>
          </w:tcPr>
          <w:p w14:paraId="004BB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:00-1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:00</w:t>
            </w:r>
          </w:p>
        </w:tc>
        <w:tc>
          <w:tcPr>
            <w:tcW w:w="2501" w:type="pct"/>
            <w:noWrap w:val="0"/>
            <w:vAlign w:val="center"/>
          </w:tcPr>
          <w:p w14:paraId="799B7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路演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Hans"/>
              </w:rPr>
              <w:t>竞赛</w:t>
            </w:r>
          </w:p>
        </w:tc>
      </w:tr>
      <w:tr w14:paraId="60EE4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498" w:type="pct"/>
            <w:noWrap w:val="0"/>
            <w:vAlign w:val="center"/>
          </w:tcPr>
          <w:p w14:paraId="7F928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:00-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:00</w:t>
            </w:r>
          </w:p>
        </w:tc>
        <w:tc>
          <w:tcPr>
            <w:tcW w:w="2501" w:type="pct"/>
            <w:noWrap w:val="0"/>
            <w:vAlign w:val="center"/>
          </w:tcPr>
          <w:p w14:paraId="577D7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统分</w:t>
            </w:r>
          </w:p>
        </w:tc>
      </w:tr>
      <w:tr w14:paraId="621E6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498" w:type="pct"/>
            <w:noWrap w:val="0"/>
            <w:vAlign w:val="center"/>
          </w:tcPr>
          <w:p w14:paraId="44576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:00</w:t>
            </w:r>
          </w:p>
        </w:tc>
        <w:tc>
          <w:tcPr>
            <w:tcW w:w="2501" w:type="pct"/>
            <w:noWrap w:val="0"/>
            <w:vAlign w:val="center"/>
          </w:tcPr>
          <w:p w14:paraId="7ECF2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成绩公布</w:t>
            </w:r>
          </w:p>
        </w:tc>
      </w:tr>
      <w:tr w14:paraId="1CA9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498" w:type="pct"/>
            <w:noWrap w:val="0"/>
            <w:vAlign w:val="center"/>
          </w:tcPr>
          <w:p w14:paraId="6F0B3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返程</w:t>
            </w:r>
          </w:p>
        </w:tc>
        <w:tc>
          <w:tcPr>
            <w:tcW w:w="2501" w:type="pct"/>
            <w:noWrap w:val="0"/>
            <w:vAlign w:val="center"/>
          </w:tcPr>
          <w:p w14:paraId="3AD68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14:paraId="41B5A9F3">
      <w:pPr>
        <w:pStyle w:val="10"/>
        <w:rPr>
          <w:rFonts w:hint="eastAsia"/>
          <w:lang w:val="en-US" w:eastAsia="zh-CN"/>
        </w:rPr>
      </w:pPr>
    </w:p>
    <w:p w14:paraId="2B6C7DA6">
      <w:pPr>
        <w:ind w:firstLine="640" w:firstLineChars="200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17" w:name="_Toc25968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四、竞赛场地、设施设备等</w:t>
      </w:r>
      <w:bookmarkEnd w:id="17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</w:p>
    <w:p w14:paraId="05CC5584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zh-TW" w:eastAsia="zh-CN"/>
        </w:rPr>
      </w:pPr>
      <w:bookmarkStart w:id="18" w:name="_Toc10028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zh-TW" w:eastAsia="zh-CN"/>
        </w:rPr>
        <w:t>竞赛区</w:t>
      </w:r>
      <w:bookmarkEnd w:id="18"/>
    </w:p>
    <w:p w14:paraId="51E8CE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zh-TW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zh-TW" w:eastAsia="zh-CN" w:bidi="ar-SA"/>
        </w:rPr>
        <w:t>每个比赛工位标明参赛选手编号。提供性能完好的竞赛平台、相关工具和电脑1套，安装竞赛所需的相关软件；提供独立的电源，且含安全的接地保护。</w:t>
      </w:r>
    </w:p>
    <w:p w14:paraId="6A413994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zh-TW" w:eastAsia="zh-CN"/>
        </w:rPr>
      </w:pPr>
      <w:bookmarkStart w:id="19" w:name="_Toc16160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zh-TW" w:eastAsia="zh-CN"/>
        </w:rPr>
        <w:t>裁判区</w:t>
      </w:r>
      <w:bookmarkEnd w:id="19"/>
    </w:p>
    <w:p w14:paraId="3D792C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zh-TW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zh-TW" w:eastAsia="zh-CN" w:bidi="ar-SA"/>
        </w:rPr>
        <w:t>裁判区配置计算机等统计工具，配置大屏幕，用于放映竞赛实时进程；配置摄像机，记录各参赛队的比赛全过程。</w:t>
      </w:r>
    </w:p>
    <w:p w14:paraId="76D5A956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bookmarkStart w:id="20" w:name="_Toc6594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（三）场地设备</w:t>
      </w:r>
      <w:bookmarkEnd w:id="20"/>
    </w:p>
    <w:p w14:paraId="0CD908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-SA"/>
        </w:rPr>
        <w:t>硬件环境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847"/>
        <w:gridCol w:w="847"/>
        <w:gridCol w:w="4920"/>
      </w:tblGrid>
      <w:tr w14:paraId="4DBE3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118" w:type="pct"/>
            <w:noWrap w:val="0"/>
            <w:vAlign w:val="center"/>
          </w:tcPr>
          <w:p w14:paraId="19AAF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设备名称</w:t>
            </w:r>
          </w:p>
        </w:tc>
        <w:tc>
          <w:tcPr>
            <w:tcW w:w="497" w:type="pct"/>
            <w:noWrap w:val="0"/>
            <w:vAlign w:val="center"/>
          </w:tcPr>
          <w:p w14:paraId="6FE3D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497" w:type="pct"/>
            <w:noWrap w:val="0"/>
            <w:vAlign w:val="center"/>
          </w:tcPr>
          <w:p w14:paraId="09AD5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887" w:type="pct"/>
            <w:noWrap w:val="0"/>
            <w:vAlign w:val="center"/>
          </w:tcPr>
          <w:p w14:paraId="2B7D1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AF2C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1118" w:type="pct"/>
            <w:noWrap w:val="0"/>
            <w:vAlign w:val="center"/>
          </w:tcPr>
          <w:p w14:paraId="17DB7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计算机</w:t>
            </w:r>
          </w:p>
        </w:tc>
        <w:tc>
          <w:tcPr>
            <w:tcW w:w="497" w:type="pct"/>
            <w:noWrap w:val="0"/>
            <w:vAlign w:val="center"/>
          </w:tcPr>
          <w:p w14:paraId="5FAC3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台/组</w:t>
            </w:r>
          </w:p>
        </w:tc>
        <w:tc>
          <w:tcPr>
            <w:tcW w:w="497" w:type="pct"/>
            <w:noWrap w:val="0"/>
            <w:vAlign w:val="center"/>
          </w:tcPr>
          <w:p w14:paraId="3284F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87" w:type="pct"/>
            <w:noWrap w:val="0"/>
            <w:vAlign w:val="center"/>
          </w:tcPr>
          <w:p w14:paraId="21289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CPU：不低于i5；</w:t>
            </w:r>
          </w:p>
          <w:p w14:paraId="1D419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内存：不低于8G；</w:t>
            </w:r>
          </w:p>
          <w:p w14:paraId="2B4FF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显卡：不低于1060；</w:t>
            </w:r>
          </w:p>
          <w:p w14:paraId="6BD82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硬盘：不低于500G；</w:t>
            </w:r>
          </w:p>
          <w:p w14:paraId="2C12F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显示器：1个/台，不低于21寸；</w:t>
            </w:r>
          </w:p>
          <w:p w14:paraId="1CE3E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接口：支持HDMI、DP、网口，禁用USB。</w:t>
            </w:r>
          </w:p>
        </w:tc>
      </w:tr>
    </w:tbl>
    <w:p w14:paraId="022ADA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kern w:val="44"/>
          <w:sz w:val="28"/>
          <w:szCs w:val="28"/>
          <w:lang w:val="zh-TW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44"/>
          <w:sz w:val="28"/>
          <w:szCs w:val="28"/>
          <w:lang w:val="zh-TW" w:eastAsia="zh-CN" w:bidi="ar-SA"/>
        </w:rPr>
        <w:t>软件环境</w:t>
      </w:r>
    </w:p>
    <w:tbl>
      <w:tblPr>
        <w:tblStyle w:val="12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1534"/>
        <w:gridCol w:w="5673"/>
      </w:tblGrid>
      <w:tr w14:paraId="24D4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770" w:type="pct"/>
            <w:noWrap w:val="0"/>
            <w:vAlign w:val="center"/>
          </w:tcPr>
          <w:p w14:paraId="05101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00" w:type="pct"/>
            <w:noWrap w:val="0"/>
            <w:vAlign w:val="center"/>
          </w:tcPr>
          <w:p w14:paraId="78242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设备名称</w:t>
            </w:r>
          </w:p>
        </w:tc>
        <w:tc>
          <w:tcPr>
            <w:tcW w:w="3328" w:type="pct"/>
            <w:noWrap w:val="0"/>
            <w:vAlign w:val="center"/>
          </w:tcPr>
          <w:p w14:paraId="156A6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FC58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770" w:type="pct"/>
            <w:noWrap w:val="0"/>
            <w:vAlign w:val="center"/>
          </w:tcPr>
          <w:p w14:paraId="225AD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00" w:type="pct"/>
            <w:noWrap w:val="0"/>
            <w:vAlign w:val="center"/>
          </w:tcPr>
          <w:p w14:paraId="34C80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设计软件</w:t>
            </w:r>
          </w:p>
        </w:tc>
        <w:tc>
          <w:tcPr>
            <w:tcW w:w="3328" w:type="pct"/>
            <w:noWrap w:val="0"/>
            <w:vAlign w:val="center"/>
          </w:tcPr>
          <w:p w14:paraId="4B3D0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不限软件</w:t>
            </w:r>
          </w:p>
        </w:tc>
      </w:tr>
      <w:tr w14:paraId="4D8A1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70" w:type="pct"/>
            <w:noWrap w:val="0"/>
            <w:vAlign w:val="center"/>
          </w:tcPr>
          <w:p w14:paraId="40706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00" w:type="pct"/>
            <w:noWrap w:val="0"/>
            <w:vAlign w:val="center"/>
          </w:tcPr>
          <w:p w14:paraId="730F2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渲染器</w:t>
            </w:r>
          </w:p>
        </w:tc>
        <w:tc>
          <w:tcPr>
            <w:tcW w:w="3328" w:type="pct"/>
            <w:noWrap w:val="0"/>
            <w:vAlign w:val="center"/>
          </w:tcPr>
          <w:p w14:paraId="02C91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不限</w:t>
            </w:r>
          </w:p>
        </w:tc>
      </w:tr>
    </w:tbl>
    <w:p w14:paraId="79979D1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bookmarkStart w:id="21" w:name="bookmark164"/>
      <w:bookmarkEnd w:id="21"/>
    </w:p>
    <w:p w14:paraId="6975DC04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53A536B-D223-4032-BFFB-1D20B5FC755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D49167C-EA4C-405A-9A97-5F9AAEEA70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EA6430B-6FDD-4982-ACEC-02F0A841882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EFCFF6E-03FB-41A1-AE00-712560AFA72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802CC">
    <w:pPr>
      <w:spacing w:line="182" w:lineRule="auto"/>
      <w:ind w:right="94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824F96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824F96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088FC"/>
    <w:multiLevelType w:val="singleLevel"/>
    <w:tmpl w:val="89B088F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975CFAC"/>
    <w:multiLevelType w:val="singleLevel"/>
    <w:tmpl w:val="7975CFA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YjZjNzNiNjQ1ZjJiMjJiOTI3NGJlZTM1MDg4ZDQifQ=="/>
  </w:docVars>
  <w:rsids>
    <w:rsidRoot w:val="3C8F34FB"/>
    <w:rsid w:val="002E21F1"/>
    <w:rsid w:val="00E10BC1"/>
    <w:rsid w:val="02B8726B"/>
    <w:rsid w:val="0337515E"/>
    <w:rsid w:val="0441486A"/>
    <w:rsid w:val="04AC5B58"/>
    <w:rsid w:val="05141186"/>
    <w:rsid w:val="05184117"/>
    <w:rsid w:val="06400C4E"/>
    <w:rsid w:val="069D39AB"/>
    <w:rsid w:val="06B01930"/>
    <w:rsid w:val="0D2E1801"/>
    <w:rsid w:val="0F625791"/>
    <w:rsid w:val="10973B61"/>
    <w:rsid w:val="11247856"/>
    <w:rsid w:val="11610C55"/>
    <w:rsid w:val="12CE7796"/>
    <w:rsid w:val="1354413C"/>
    <w:rsid w:val="150F104C"/>
    <w:rsid w:val="154204F7"/>
    <w:rsid w:val="15AB71B9"/>
    <w:rsid w:val="16371D92"/>
    <w:rsid w:val="16AD7206"/>
    <w:rsid w:val="16B74615"/>
    <w:rsid w:val="170A7520"/>
    <w:rsid w:val="17D42FA4"/>
    <w:rsid w:val="197C3302"/>
    <w:rsid w:val="198B1496"/>
    <w:rsid w:val="1D4B5609"/>
    <w:rsid w:val="1DCA2D7A"/>
    <w:rsid w:val="1DF46126"/>
    <w:rsid w:val="21020066"/>
    <w:rsid w:val="215F37BC"/>
    <w:rsid w:val="22F974F7"/>
    <w:rsid w:val="23D43F17"/>
    <w:rsid w:val="247E6D4F"/>
    <w:rsid w:val="251D68F7"/>
    <w:rsid w:val="25387269"/>
    <w:rsid w:val="26473DA2"/>
    <w:rsid w:val="268F4C66"/>
    <w:rsid w:val="26CE20EB"/>
    <w:rsid w:val="26DC1614"/>
    <w:rsid w:val="280413A4"/>
    <w:rsid w:val="2A162A4A"/>
    <w:rsid w:val="2AF935EE"/>
    <w:rsid w:val="2D522E8F"/>
    <w:rsid w:val="2D782AB7"/>
    <w:rsid w:val="2D88240F"/>
    <w:rsid w:val="2E0040EE"/>
    <w:rsid w:val="2E166BB0"/>
    <w:rsid w:val="2F020D28"/>
    <w:rsid w:val="2FBD5B34"/>
    <w:rsid w:val="302B1C5C"/>
    <w:rsid w:val="31D369CB"/>
    <w:rsid w:val="32A65C3C"/>
    <w:rsid w:val="351A64C8"/>
    <w:rsid w:val="36BD2E39"/>
    <w:rsid w:val="3B0460F0"/>
    <w:rsid w:val="3B4958D4"/>
    <w:rsid w:val="3C8F34FB"/>
    <w:rsid w:val="3D375F78"/>
    <w:rsid w:val="3E20385C"/>
    <w:rsid w:val="3E6719E5"/>
    <w:rsid w:val="3EB45DC8"/>
    <w:rsid w:val="41414CF2"/>
    <w:rsid w:val="416E728D"/>
    <w:rsid w:val="421F303E"/>
    <w:rsid w:val="42C05D90"/>
    <w:rsid w:val="43BC29BB"/>
    <w:rsid w:val="465B295F"/>
    <w:rsid w:val="492D321E"/>
    <w:rsid w:val="4A056879"/>
    <w:rsid w:val="4A6B4F1F"/>
    <w:rsid w:val="4A9F4E7B"/>
    <w:rsid w:val="4B7C25D4"/>
    <w:rsid w:val="4B9F6CD6"/>
    <w:rsid w:val="4BA03B95"/>
    <w:rsid w:val="4BB56366"/>
    <w:rsid w:val="4BD27220"/>
    <w:rsid w:val="4BF70FEE"/>
    <w:rsid w:val="4C0B44E0"/>
    <w:rsid w:val="4E35240E"/>
    <w:rsid w:val="4FAE7BE0"/>
    <w:rsid w:val="52DB0C3B"/>
    <w:rsid w:val="53070744"/>
    <w:rsid w:val="556B0B50"/>
    <w:rsid w:val="55F51CA6"/>
    <w:rsid w:val="566455B4"/>
    <w:rsid w:val="56CD4201"/>
    <w:rsid w:val="570E0F11"/>
    <w:rsid w:val="57B93DB0"/>
    <w:rsid w:val="586D6128"/>
    <w:rsid w:val="59E73F8F"/>
    <w:rsid w:val="5A87066F"/>
    <w:rsid w:val="5BDD11DE"/>
    <w:rsid w:val="5C452A98"/>
    <w:rsid w:val="5D6862DD"/>
    <w:rsid w:val="5F3E06B6"/>
    <w:rsid w:val="60B34AC6"/>
    <w:rsid w:val="627475E3"/>
    <w:rsid w:val="627B0C7A"/>
    <w:rsid w:val="64543B82"/>
    <w:rsid w:val="65515201"/>
    <w:rsid w:val="66106E6A"/>
    <w:rsid w:val="678D289E"/>
    <w:rsid w:val="67C43A69"/>
    <w:rsid w:val="68077639"/>
    <w:rsid w:val="68B06B5B"/>
    <w:rsid w:val="68EE7C2B"/>
    <w:rsid w:val="69147C43"/>
    <w:rsid w:val="69E05AA9"/>
    <w:rsid w:val="6BCA6DD3"/>
    <w:rsid w:val="6D25144D"/>
    <w:rsid w:val="6D683DAE"/>
    <w:rsid w:val="6E1C16C2"/>
    <w:rsid w:val="6F897012"/>
    <w:rsid w:val="71431E3C"/>
    <w:rsid w:val="715B7A42"/>
    <w:rsid w:val="719830A7"/>
    <w:rsid w:val="74634FD6"/>
    <w:rsid w:val="76B11FF1"/>
    <w:rsid w:val="773D55E5"/>
    <w:rsid w:val="779E3DFE"/>
    <w:rsid w:val="7A21492B"/>
    <w:rsid w:val="7A32570A"/>
    <w:rsid w:val="7B59426E"/>
    <w:rsid w:val="7CE07896"/>
    <w:rsid w:val="7D1C1764"/>
    <w:rsid w:val="7D6F4E3A"/>
    <w:rsid w:val="7E39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7"/>
    <w:unhideWhenUsed/>
    <w:qFormat/>
    <w:uiPriority w:val="9"/>
    <w:pPr>
      <w:widowControl w:val="0"/>
      <w:autoSpaceDE w:val="0"/>
      <w:autoSpaceDN w:val="0"/>
      <w:spacing w:before="96" w:after="0"/>
      <w:jc w:val="left"/>
      <w:outlineLvl w:val="2"/>
    </w:pPr>
    <w:rPr>
      <w:rFonts w:ascii="仿宋" w:hAnsi="仿宋" w:cs="仿宋"/>
      <w:color w:val="000000"/>
      <w:spacing w:val="-4"/>
      <w:sz w:val="30"/>
      <w:lang w:eastAsia="zh-CN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Body Text First Indent"/>
    <w:basedOn w:val="4"/>
    <w:qFormat/>
    <w:uiPriority w:val="0"/>
    <w:pPr>
      <w:spacing w:after="120"/>
      <w:ind w:firstLine="420" w:firstLineChars="100"/>
    </w:pPr>
    <w:rPr>
      <w:rFonts w:ascii="Arial" w:hAnsi="Arial" w:eastAsia="Arial" w:cs="Arial"/>
      <w:sz w:val="21"/>
      <w:szCs w:val="21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customStyle="1" w:styleId="1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标题 3 字符"/>
    <w:basedOn w:val="13"/>
    <w:link w:val="3"/>
    <w:qFormat/>
    <w:uiPriority w:val="9"/>
    <w:rPr>
      <w:rFonts w:ascii="仿宋" w:hAnsi="仿宋" w:cs="仿宋"/>
      <w:color w:val="000000"/>
      <w:spacing w:val="-4"/>
      <w:sz w:val="30"/>
      <w:lang w:eastAsia="zh-CN"/>
    </w:rPr>
  </w:style>
  <w:style w:type="paragraph" w:customStyle="1" w:styleId="18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9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20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21">
    <w:name w:val="font41"/>
    <w:basedOn w:val="13"/>
    <w:qFormat/>
    <w:uiPriority w:val="0"/>
    <w:rPr>
      <w:rFonts w:ascii="黑体" w:hAnsi="宋体" w:eastAsia="黑体" w:cs="黑体"/>
      <w:b/>
      <w:bCs/>
      <w:color w:val="000000"/>
      <w:sz w:val="18"/>
      <w:szCs w:val="18"/>
      <w:u w:val="none"/>
    </w:rPr>
  </w:style>
  <w:style w:type="character" w:customStyle="1" w:styleId="22">
    <w:name w:val="font51"/>
    <w:basedOn w:val="13"/>
    <w:qFormat/>
    <w:uiPriority w:val="0"/>
    <w:rPr>
      <w:rFonts w:ascii="宋体" w:hAnsi="宋体" w:eastAsia="宋体" w:cs="宋体"/>
      <w:color w:val="000000"/>
      <w:sz w:val="12"/>
      <w:szCs w:val="12"/>
      <w:u w:val="none"/>
    </w:rPr>
  </w:style>
  <w:style w:type="character" w:customStyle="1" w:styleId="23">
    <w:name w:val="font31"/>
    <w:basedOn w:val="13"/>
    <w:qFormat/>
    <w:uiPriority w:val="0"/>
    <w:rPr>
      <w:rFonts w:ascii="宋体" w:hAnsi="宋体" w:eastAsia="宋体" w:cs="宋体"/>
      <w:color w:val="001F9C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1679</Words>
  <Characters>1757</Characters>
  <Lines>0</Lines>
  <Paragraphs>0</Paragraphs>
  <TotalTime>4</TotalTime>
  <ScaleCrop>false</ScaleCrop>
  <LinksUpToDate>false</LinksUpToDate>
  <CharactersWithSpaces>1832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2022-09-27T14:18:00Z</dcterms:created>
  <dc:creator>编辑土豆</dc:creator>
  <cp:lastModifiedBy>神岭鹏歌</cp:lastModifiedBy>
  <cp:lastPrinted>2026-08-03T02:52:00Z</cp:lastPrinted>
  <dcterms:modified xsi:type="dcterms:W3CDTF">2026-08-03T08:42:36Z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C6105C816950457FAA02F4715E22EACA</vt:lpwstr>
  </property>
  <property fmtid="{D5CDD505-2E9C-101B-9397-08002B2CF9AE}" pid="4" name="KSOTemplateDocerSaveRecord">
    <vt:lpwstr>eyJoZGlkIjoiNWU3MzJmNTNlMTE5ZDgwZjA3OTlmZDExNmQyNDMzMWMiLCJ1c2VySWQiOiIzOTQxNDg1NDcifQ==</vt:lpwstr>
  </property>
</Properties>
</file>